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INTERMEDIA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38936558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514919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3259267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(modalità, tempi, ecc)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ancora da raggiungere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in merito all’andamento dell’attività progettuale ed eventuali modifiche apportate rispetto alla progettazione iniziale: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z+xw8e/HVcZiwHZDvm8o4hqqw==">CgMxLjAaJgoBMBIhCh8IB0IbCgdWZXJkYW5hEhBBcmlhbCBVbmljb2RlIE1TGiYKATESIQofCAdCGwoHVmVyZGFuYRIQQXJpYWwgVW5pY29kZSBNUxomCgEyEiEKHwgHQhsKB1ZlcmRhbmESEEFyaWFsIFVuaWNvZGUgTVMyDmguOGUwdTU5aDJqaDdjMghoLmdqZGd4czgAciExMHV1YmYyZkZhVGZKa2lsT1l5WUZrU3I0N1ktSG5HVVE=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